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6984"/>
        <w:gridCol w:w="6984"/>
      </w:tblGrid>
      <w:tr w:rsidR="00CB6401">
        <w:tblPrEx>
          <w:tblCellMar>
            <w:top w:w="0" w:type="dxa"/>
            <w:bottom w:w="0" w:type="dxa"/>
          </w:tblCellMar>
        </w:tblPrEx>
        <w:trPr>
          <w:trHeight w:val="153"/>
        </w:trPr>
        <w:tc>
          <w:tcPr>
            <w:tcW w:w="13968" w:type="dxa"/>
            <w:gridSpan w:val="2"/>
          </w:tcPr>
          <w:p w:rsidR="00CB6401" w:rsidRPr="00CB6401" w:rsidRDefault="00CB6401">
            <w:pPr>
              <w:pStyle w:val="Default"/>
              <w:rPr>
                <w:sz w:val="22"/>
                <w:szCs w:val="22"/>
                <w:u w:val="single"/>
              </w:rPr>
            </w:pPr>
            <w:r w:rsidRPr="00F375B4">
              <w:rPr>
                <w:bCs/>
                <w:szCs w:val="22"/>
                <w:u w:val="single"/>
              </w:rPr>
              <w:t xml:space="preserve">Strategic initiative 5 </w:t>
            </w:r>
          </w:p>
        </w:tc>
      </w:tr>
      <w:tr w:rsidR="00CB6401">
        <w:tblPrEx>
          <w:tblCellMar>
            <w:top w:w="0" w:type="dxa"/>
            <w:bottom w:w="0" w:type="dxa"/>
          </w:tblCellMar>
        </w:tblPrEx>
        <w:trPr>
          <w:trHeight w:val="329"/>
        </w:trPr>
        <w:tc>
          <w:tcPr>
            <w:tcW w:w="13968" w:type="dxa"/>
            <w:gridSpan w:val="2"/>
          </w:tcPr>
          <w:p w:rsidR="00CB6401" w:rsidRDefault="00CB6401">
            <w:pPr>
              <w:pStyle w:val="Defaul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What are we seeking to achieve? </w:t>
            </w:r>
          </w:p>
          <w:p w:rsidR="00CB6401" w:rsidRDefault="00CB6401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Financial sustainability </w:t>
            </w:r>
          </w:p>
        </w:tc>
      </w:tr>
      <w:tr w:rsidR="00CB6401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13968" w:type="dxa"/>
            <w:gridSpan w:val="2"/>
          </w:tcPr>
          <w:p w:rsidR="00CB6401" w:rsidRDefault="00CB6401">
            <w:pPr>
              <w:pStyle w:val="Defaul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Why are we going to do this? </w:t>
            </w:r>
          </w:p>
          <w:p w:rsidR="00CB6401" w:rsidRDefault="00CB6401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 ensure the organisation has the income to deliver what it is required to deliver and the reserves to fund unplanned events </w:t>
            </w:r>
          </w:p>
        </w:tc>
      </w:tr>
      <w:tr w:rsidR="00CB6401">
        <w:tblPrEx>
          <w:tblCellMar>
            <w:top w:w="0" w:type="dxa"/>
            <w:bottom w:w="0" w:type="dxa"/>
          </w:tblCellMar>
        </w:tblPrEx>
        <w:trPr>
          <w:trHeight w:val="657"/>
        </w:trPr>
        <w:tc>
          <w:tcPr>
            <w:tcW w:w="6984" w:type="dxa"/>
          </w:tcPr>
          <w:p w:rsidR="00CB6401" w:rsidRDefault="00CB6401">
            <w:pPr>
              <w:pStyle w:val="Defaul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What is our framework? </w:t>
            </w:r>
          </w:p>
          <w:p w:rsidR="00CB6401" w:rsidRDefault="00CB6401">
            <w:pPr>
              <w:pStyle w:val="Default"/>
              <w:rPr>
                <w:sz w:val="18"/>
                <w:szCs w:val="18"/>
              </w:rPr>
            </w:pPr>
            <w:r>
              <w:rPr>
                <w:rFonts w:ascii="Wingdings" w:hAnsi="Wingdings" w:cs="Wingdings"/>
                <w:sz w:val="20"/>
                <w:szCs w:val="20"/>
              </w:rPr>
              <w:t></w:t>
            </w:r>
            <w:r>
              <w:rPr>
                <w:rFonts w:ascii="Wingdings" w:hAnsi="Wingdings" w:cs="Wingdings"/>
                <w:sz w:val="20"/>
                <w:szCs w:val="20"/>
              </w:rPr>
              <w:t></w:t>
            </w:r>
            <w:r>
              <w:rPr>
                <w:sz w:val="18"/>
                <w:szCs w:val="18"/>
              </w:rPr>
              <w:t xml:space="preserve">Plumbers, Gasfitters, and Drainlayers Act 2006 </w:t>
            </w:r>
          </w:p>
          <w:p w:rsidR="00CB6401" w:rsidRDefault="00CB6401">
            <w:pPr>
              <w:pStyle w:val="Default"/>
              <w:rPr>
                <w:sz w:val="18"/>
                <w:szCs w:val="18"/>
              </w:rPr>
            </w:pPr>
            <w:r>
              <w:rPr>
                <w:rFonts w:ascii="Wingdings" w:hAnsi="Wingdings" w:cs="Wingdings"/>
                <w:sz w:val="20"/>
                <w:szCs w:val="20"/>
              </w:rPr>
              <w:t></w:t>
            </w:r>
            <w:r>
              <w:rPr>
                <w:rFonts w:ascii="Wingdings" w:hAnsi="Wingdings" w:cs="Wingdings"/>
                <w:sz w:val="20"/>
                <w:szCs w:val="20"/>
              </w:rPr>
              <w:t></w:t>
            </w:r>
            <w:r>
              <w:rPr>
                <w:sz w:val="18"/>
                <w:szCs w:val="18"/>
              </w:rPr>
              <w:t xml:space="preserve">Controller and Auditor-General guidelines for charging for services in the public </w:t>
            </w:r>
          </w:p>
          <w:p w:rsidR="00CB6401" w:rsidRDefault="00CB6401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sector </w:t>
            </w:r>
          </w:p>
          <w:p w:rsidR="00CA4B63" w:rsidRDefault="00CA4B63">
            <w:pPr>
              <w:pStyle w:val="Default"/>
              <w:rPr>
                <w:sz w:val="18"/>
                <w:szCs w:val="18"/>
              </w:rPr>
            </w:pPr>
            <w:r>
              <w:rPr>
                <w:rFonts w:ascii="Wingdings" w:hAnsi="Wingdings" w:cs="Wingdings"/>
                <w:sz w:val="20"/>
                <w:szCs w:val="20"/>
              </w:rPr>
              <w:t></w:t>
            </w:r>
            <w:r>
              <w:rPr>
                <w:rFonts w:ascii="Wingdings" w:hAnsi="Wingdings" w:cs="Wingdings"/>
                <w:sz w:val="20"/>
                <w:szCs w:val="20"/>
              </w:rPr>
              <w:t></w:t>
            </w:r>
            <w:r>
              <w:rPr>
                <w:sz w:val="18"/>
                <w:szCs w:val="18"/>
              </w:rPr>
              <w:t>Public Finance Act</w:t>
            </w:r>
          </w:p>
          <w:p w:rsidR="004F235A" w:rsidRDefault="004F235A">
            <w:pPr>
              <w:pStyle w:val="Default"/>
              <w:rPr>
                <w:sz w:val="18"/>
                <w:szCs w:val="18"/>
              </w:rPr>
            </w:pPr>
          </w:p>
          <w:p w:rsidR="00CB6401" w:rsidRDefault="00CB6401" w:rsidP="00CB6401">
            <w:pPr>
              <w:pStyle w:val="Defaul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Who we work with? </w:t>
            </w:r>
          </w:p>
          <w:p w:rsidR="00CB6401" w:rsidRDefault="00CB6401" w:rsidP="00CB6401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 work collaboratively with all of our stakeholders including</w:t>
            </w:r>
            <w:r w:rsidR="00CA4B63">
              <w:rPr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 xml:space="preserve"> </w:t>
            </w:r>
          </w:p>
          <w:p w:rsidR="00CB6401" w:rsidRDefault="00CB6401" w:rsidP="00CB6401">
            <w:pPr>
              <w:pStyle w:val="Default"/>
              <w:rPr>
                <w:sz w:val="18"/>
                <w:szCs w:val="18"/>
              </w:rPr>
            </w:pPr>
            <w:r>
              <w:rPr>
                <w:rFonts w:ascii="Wingdings" w:hAnsi="Wingdings" w:cs="Wingdings"/>
                <w:sz w:val="20"/>
                <w:szCs w:val="20"/>
              </w:rPr>
              <w:t></w:t>
            </w:r>
            <w:r>
              <w:rPr>
                <w:rFonts w:ascii="Wingdings" w:hAnsi="Wingdings" w:cs="Wingdings"/>
                <w:sz w:val="20"/>
                <w:szCs w:val="20"/>
              </w:rPr>
              <w:t></w:t>
            </w:r>
            <w:r>
              <w:rPr>
                <w:sz w:val="18"/>
                <w:szCs w:val="18"/>
              </w:rPr>
              <w:t xml:space="preserve">Plumbers, Gasfitters, and Drainlayers </w:t>
            </w:r>
          </w:p>
          <w:p w:rsidR="007674A7" w:rsidRDefault="00CB6401" w:rsidP="00CB6401">
            <w:pPr>
              <w:pStyle w:val="Default"/>
              <w:rPr>
                <w:sz w:val="18"/>
                <w:szCs w:val="18"/>
              </w:rPr>
            </w:pPr>
            <w:r>
              <w:rPr>
                <w:rFonts w:ascii="Wingdings" w:hAnsi="Wingdings" w:cs="Wingdings"/>
                <w:sz w:val="20"/>
                <w:szCs w:val="20"/>
              </w:rPr>
              <w:t></w:t>
            </w:r>
            <w:r>
              <w:rPr>
                <w:rFonts w:ascii="Wingdings" w:hAnsi="Wingdings" w:cs="Wingdings"/>
                <w:sz w:val="20"/>
                <w:szCs w:val="20"/>
              </w:rPr>
              <w:t></w:t>
            </w:r>
            <w:r>
              <w:rPr>
                <w:sz w:val="18"/>
                <w:szCs w:val="18"/>
              </w:rPr>
              <w:t>Sector interest groups</w:t>
            </w:r>
          </w:p>
          <w:p w:rsidR="007674A7" w:rsidRDefault="007674A7" w:rsidP="007674A7">
            <w:pPr>
              <w:pStyle w:val="Default"/>
              <w:rPr>
                <w:sz w:val="18"/>
                <w:szCs w:val="18"/>
              </w:rPr>
            </w:pPr>
            <w:r>
              <w:rPr>
                <w:rFonts w:ascii="Wingdings" w:hAnsi="Wingdings" w:cs="Wingdings"/>
                <w:sz w:val="20"/>
                <w:szCs w:val="20"/>
              </w:rPr>
              <w:t></w:t>
            </w:r>
            <w:r>
              <w:rPr>
                <w:rFonts w:ascii="Wingdings" w:hAnsi="Wingdings" w:cs="Wingdings"/>
                <w:sz w:val="20"/>
                <w:szCs w:val="20"/>
              </w:rPr>
              <w:t></w:t>
            </w:r>
            <w:r>
              <w:rPr>
                <w:sz w:val="18"/>
                <w:szCs w:val="18"/>
              </w:rPr>
              <w:t>DBH and Minister</w:t>
            </w:r>
          </w:p>
          <w:p w:rsidR="00CB6401" w:rsidRPr="00CB6401" w:rsidRDefault="00CB6401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6984" w:type="dxa"/>
          </w:tcPr>
          <w:p w:rsidR="00CB6401" w:rsidRDefault="00CB6401">
            <w:pPr>
              <w:pStyle w:val="Default"/>
              <w:rPr>
                <w:b/>
                <w:bCs/>
                <w:sz w:val="18"/>
                <w:szCs w:val="18"/>
              </w:rPr>
            </w:pPr>
          </w:p>
          <w:p w:rsidR="00CB6401" w:rsidRDefault="00CB6401">
            <w:pPr>
              <w:pStyle w:val="Default"/>
              <w:rPr>
                <w:b/>
                <w:bCs/>
                <w:sz w:val="18"/>
                <w:szCs w:val="18"/>
              </w:rPr>
            </w:pPr>
          </w:p>
          <w:p w:rsidR="00CB6401" w:rsidRDefault="00CB6401">
            <w:pPr>
              <w:pStyle w:val="Default"/>
              <w:rPr>
                <w:b/>
                <w:bCs/>
                <w:sz w:val="18"/>
                <w:szCs w:val="18"/>
              </w:rPr>
            </w:pPr>
          </w:p>
          <w:p w:rsidR="00CB6401" w:rsidRDefault="00CB6401">
            <w:pPr>
              <w:pStyle w:val="Default"/>
              <w:rPr>
                <w:b/>
                <w:bCs/>
                <w:sz w:val="18"/>
                <w:szCs w:val="18"/>
              </w:rPr>
            </w:pPr>
          </w:p>
          <w:p w:rsidR="00CB6401" w:rsidRDefault="00CB6401">
            <w:pPr>
              <w:pStyle w:val="Default"/>
              <w:rPr>
                <w:rFonts w:ascii="Wingdings" w:hAnsi="Wingdings" w:cs="Wingdings"/>
                <w:sz w:val="20"/>
                <w:szCs w:val="20"/>
              </w:rPr>
            </w:pPr>
          </w:p>
          <w:p w:rsidR="00CB6401" w:rsidRDefault="00CB6401">
            <w:pPr>
              <w:pStyle w:val="Default"/>
              <w:rPr>
                <w:rFonts w:ascii="Wingdings" w:hAnsi="Wingdings" w:cs="Wingdings"/>
                <w:sz w:val="20"/>
                <w:szCs w:val="20"/>
              </w:rPr>
            </w:pPr>
          </w:p>
        </w:tc>
      </w:tr>
      <w:tr w:rsidR="00CB6401">
        <w:tblPrEx>
          <w:tblCellMar>
            <w:top w:w="0" w:type="dxa"/>
            <w:bottom w:w="0" w:type="dxa"/>
          </w:tblCellMar>
        </w:tblPrEx>
        <w:trPr>
          <w:trHeight w:val="125"/>
        </w:trPr>
        <w:tc>
          <w:tcPr>
            <w:tcW w:w="13968" w:type="dxa"/>
            <w:gridSpan w:val="2"/>
          </w:tcPr>
          <w:p w:rsidR="00CB6401" w:rsidRDefault="00CB6401">
            <w:pPr>
              <w:pStyle w:val="Defaul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How are we going to do this? </w:t>
            </w:r>
            <w:r>
              <w:rPr>
                <w:sz w:val="18"/>
                <w:szCs w:val="18"/>
              </w:rPr>
              <w:t xml:space="preserve">By ensuring that costs and revenue are well understood, analysed, and balanced.   </w:t>
            </w:r>
          </w:p>
        </w:tc>
      </w:tr>
      <w:tr w:rsidR="00CB6401">
        <w:tblPrEx>
          <w:tblCellMar>
            <w:top w:w="0" w:type="dxa"/>
            <w:bottom w:w="0" w:type="dxa"/>
          </w:tblCellMar>
        </w:tblPrEx>
        <w:trPr>
          <w:trHeight w:val="548"/>
        </w:trPr>
        <w:tc>
          <w:tcPr>
            <w:tcW w:w="13968" w:type="dxa"/>
            <w:gridSpan w:val="2"/>
          </w:tcPr>
          <w:p w:rsidR="00CB6401" w:rsidRDefault="00CB6401">
            <w:pPr>
              <w:pStyle w:val="Default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Adequate reserves are maintained.</w:t>
            </w:r>
          </w:p>
          <w:p w:rsidR="00CB6401" w:rsidRDefault="00CB6401">
            <w:pPr>
              <w:pStyle w:val="Default"/>
              <w:rPr>
                <w:b/>
                <w:bCs/>
                <w:sz w:val="18"/>
                <w:szCs w:val="18"/>
              </w:rPr>
            </w:pPr>
          </w:p>
          <w:p w:rsidR="00CB6401" w:rsidRDefault="00CB6401">
            <w:pPr>
              <w:pStyle w:val="Defaul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What are we going to do? </w:t>
            </w:r>
          </w:p>
          <w:p w:rsidR="00CB6401" w:rsidRDefault="00CB6401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Key deliverables </w:t>
            </w:r>
          </w:p>
          <w:p w:rsidR="00CB6401" w:rsidRDefault="00CB6401">
            <w:pPr>
              <w:pStyle w:val="Default"/>
              <w:rPr>
                <w:sz w:val="18"/>
                <w:szCs w:val="18"/>
              </w:rPr>
            </w:pPr>
            <w:r>
              <w:rPr>
                <w:rFonts w:ascii="Wingdings" w:hAnsi="Wingdings" w:cs="Wingdings"/>
                <w:sz w:val="20"/>
                <w:szCs w:val="20"/>
              </w:rPr>
              <w:t></w:t>
            </w:r>
            <w:r>
              <w:rPr>
                <w:rFonts w:ascii="Wingdings" w:hAnsi="Wingdings" w:cs="Wingdings"/>
                <w:sz w:val="20"/>
                <w:szCs w:val="20"/>
              </w:rPr>
              <w:t></w:t>
            </w:r>
            <w:r>
              <w:rPr>
                <w:sz w:val="18"/>
                <w:szCs w:val="18"/>
              </w:rPr>
              <w:t xml:space="preserve">Ensure sound financial planning, management and reporting procedures are in place </w:t>
            </w:r>
          </w:p>
          <w:p w:rsidR="00CB6401" w:rsidRDefault="00CB6401">
            <w:pPr>
              <w:pStyle w:val="Default"/>
              <w:rPr>
                <w:sz w:val="18"/>
                <w:szCs w:val="18"/>
              </w:rPr>
            </w:pPr>
            <w:r>
              <w:rPr>
                <w:rFonts w:ascii="Wingdings" w:hAnsi="Wingdings" w:cs="Wingdings"/>
                <w:sz w:val="20"/>
                <w:szCs w:val="20"/>
              </w:rPr>
              <w:t></w:t>
            </w:r>
            <w:r>
              <w:rPr>
                <w:rFonts w:ascii="Wingdings" w:hAnsi="Wingdings" w:cs="Wingdings"/>
                <w:sz w:val="20"/>
                <w:szCs w:val="20"/>
              </w:rPr>
              <w:t></w:t>
            </w:r>
            <w:r>
              <w:rPr>
                <w:sz w:val="18"/>
                <w:szCs w:val="18"/>
              </w:rPr>
              <w:t xml:space="preserve">Conduct a fees review at least every three years </w:t>
            </w:r>
          </w:p>
          <w:p w:rsidR="00CB6401" w:rsidRDefault="00CB6401">
            <w:pPr>
              <w:pStyle w:val="Default"/>
              <w:rPr>
                <w:sz w:val="18"/>
                <w:szCs w:val="18"/>
              </w:rPr>
            </w:pPr>
          </w:p>
        </w:tc>
      </w:tr>
      <w:tr w:rsidR="00CB6401">
        <w:tblPrEx>
          <w:tblCellMar>
            <w:top w:w="0" w:type="dxa"/>
            <w:bottom w:w="0" w:type="dxa"/>
          </w:tblCellMar>
        </w:tblPrEx>
        <w:trPr>
          <w:trHeight w:val="662"/>
        </w:trPr>
        <w:tc>
          <w:tcPr>
            <w:tcW w:w="13968" w:type="dxa"/>
            <w:gridSpan w:val="2"/>
          </w:tcPr>
          <w:p w:rsidR="00CB6401" w:rsidRDefault="00CB6401">
            <w:pPr>
              <w:pStyle w:val="Defaul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2011/2012 Activities </w:t>
            </w:r>
          </w:p>
          <w:p w:rsidR="00CB6401" w:rsidRDefault="00CB6401">
            <w:pPr>
              <w:pStyle w:val="Default"/>
              <w:rPr>
                <w:sz w:val="18"/>
                <w:szCs w:val="18"/>
              </w:rPr>
            </w:pPr>
            <w:r>
              <w:rPr>
                <w:rFonts w:ascii="Wingdings" w:hAnsi="Wingdings" w:cs="Wingdings"/>
                <w:sz w:val="20"/>
                <w:szCs w:val="20"/>
              </w:rPr>
              <w:t></w:t>
            </w:r>
            <w:r>
              <w:rPr>
                <w:rFonts w:ascii="Wingdings" w:hAnsi="Wingdings" w:cs="Wingdings"/>
                <w:sz w:val="20"/>
                <w:szCs w:val="20"/>
              </w:rPr>
              <w:t></w:t>
            </w:r>
            <w:r>
              <w:rPr>
                <w:sz w:val="18"/>
                <w:szCs w:val="18"/>
              </w:rPr>
              <w:t xml:space="preserve">Improved financial and management accounting systems and practices </w:t>
            </w:r>
          </w:p>
          <w:p w:rsidR="00CB6401" w:rsidRDefault="00CB6401">
            <w:pPr>
              <w:pStyle w:val="Default"/>
              <w:rPr>
                <w:sz w:val="18"/>
                <w:szCs w:val="18"/>
              </w:rPr>
            </w:pPr>
            <w:r>
              <w:rPr>
                <w:rFonts w:ascii="Wingdings" w:hAnsi="Wingdings" w:cs="Wingdings"/>
                <w:sz w:val="20"/>
                <w:szCs w:val="20"/>
              </w:rPr>
              <w:t></w:t>
            </w:r>
            <w:r>
              <w:rPr>
                <w:rFonts w:ascii="Wingdings" w:hAnsi="Wingdings" w:cs="Wingdings"/>
                <w:sz w:val="20"/>
                <w:szCs w:val="20"/>
              </w:rPr>
              <w:t></w:t>
            </w:r>
            <w:r>
              <w:rPr>
                <w:sz w:val="18"/>
                <w:szCs w:val="18"/>
              </w:rPr>
              <w:t xml:space="preserve">Investigate the use of video conferencing for governance and operational efficiencies </w:t>
            </w:r>
          </w:p>
          <w:p w:rsidR="00CB6401" w:rsidRDefault="00CB6401">
            <w:pPr>
              <w:pStyle w:val="Default"/>
              <w:rPr>
                <w:sz w:val="18"/>
                <w:szCs w:val="18"/>
              </w:rPr>
            </w:pPr>
            <w:r>
              <w:rPr>
                <w:rFonts w:ascii="Wingdings" w:hAnsi="Wingdings" w:cs="Wingdings"/>
                <w:sz w:val="20"/>
                <w:szCs w:val="20"/>
              </w:rPr>
              <w:t></w:t>
            </w:r>
            <w:r>
              <w:rPr>
                <w:rFonts w:ascii="Wingdings" w:hAnsi="Wingdings" w:cs="Wingdings"/>
                <w:sz w:val="20"/>
                <w:szCs w:val="20"/>
              </w:rPr>
              <w:t></w:t>
            </w:r>
            <w:r>
              <w:rPr>
                <w:sz w:val="18"/>
                <w:szCs w:val="18"/>
              </w:rPr>
              <w:t xml:space="preserve">Conduct a review of all fees and charges following the review of registration and </w:t>
            </w:r>
            <w:r w:rsidR="00F375B4">
              <w:rPr>
                <w:sz w:val="18"/>
                <w:szCs w:val="18"/>
              </w:rPr>
              <w:t>licensing</w:t>
            </w:r>
            <w:r>
              <w:rPr>
                <w:sz w:val="18"/>
                <w:szCs w:val="18"/>
              </w:rPr>
              <w:t xml:space="preserve"> policies </w:t>
            </w:r>
          </w:p>
          <w:p w:rsidR="00CB6401" w:rsidRDefault="00CB6401">
            <w:pPr>
              <w:pStyle w:val="Default"/>
              <w:rPr>
                <w:sz w:val="18"/>
                <w:szCs w:val="18"/>
              </w:rPr>
            </w:pPr>
            <w:r>
              <w:rPr>
                <w:rFonts w:ascii="Wingdings" w:hAnsi="Wingdings" w:cs="Wingdings"/>
                <w:sz w:val="20"/>
                <w:szCs w:val="20"/>
              </w:rPr>
              <w:t></w:t>
            </w:r>
            <w:r>
              <w:rPr>
                <w:rFonts w:ascii="Wingdings" w:hAnsi="Wingdings" w:cs="Wingdings"/>
                <w:sz w:val="20"/>
                <w:szCs w:val="20"/>
              </w:rPr>
              <w:t></w:t>
            </w:r>
            <w:r>
              <w:rPr>
                <w:sz w:val="18"/>
                <w:szCs w:val="18"/>
              </w:rPr>
              <w:t>Explore shared service opportunities</w:t>
            </w:r>
          </w:p>
          <w:p w:rsidR="00CB6401" w:rsidRDefault="00CB6401">
            <w:pPr>
              <w:pStyle w:val="Default"/>
              <w:rPr>
                <w:sz w:val="18"/>
                <w:szCs w:val="18"/>
              </w:rPr>
            </w:pPr>
          </w:p>
        </w:tc>
      </w:tr>
    </w:tbl>
    <w:p w:rsidR="00963B67" w:rsidRDefault="00963B67"/>
    <w:sectPr w:rsidR="00963B67" w:rsidSect="00963B67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defaultTabStop w:val="720"/>
  <w:characterSpacingControl w:val="doNotCompress"/>
  <w:compat/>
  <w:rsids>
    <w:rsidRoot w:val="00CB6401"/>
    <w:rsid w:val="004F235A"/>
    <w:rsid w:val="007674A7"/>
    <w:rsid w:val="00963B67"/>
    <w:rsid w:val="00CA4B63"/>
    <w:rsid w:val="00CB6401"/>
    <w:rsid w:val="00EA168E"/>
    <w:rsid w:val="00F37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3B6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B640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189</Words>
  <Characters>1079</Characters>
  <Application>Microsoft Office Word</Application>
  <DocSecurity>0</DocSecurity>
  <Lines>8</Lines>
  <Paragraphs>2</Paragraphs>
  <ScaleCrop>false</ScaleCrop>
  <Company>..</Company>
  <LinksUpToDate>false</LinksUpToDate>
  <CharactersWithSpaces>1266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jayson</dc:creator>
  <cp:keywords/>
  <dc:description/>
  <cp:lastModifiedBy>r jayson</cp:lastModifiedBy>
  <cp:revision>6</cp:revision>
  <dcterms:created xsi:type="dcterms:W3CDTF">2011-05-18T20:14:00Z</dcterms:created>
  <dcterms:modified xsi:type="dcterms:W3CDTF">2011-05-18T20:24:00Z</dcterms:modified>
</cp:coreProperties>
</file>